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sz w:val="44"/>
          <w:szCs w:val="44"/>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color w:val="000000"/>
          <w:sz w:val="44"/>
          <w:szCs w:val="44"/>
        </w:rPr>
        <w:t>202</w:t>
      </w:r>
      <w:r>
        <w:rPr>
          <w:rFonts w:hint="eastAsia" w:ascii="方正小标宋简体" w:hAnsi="方正小标宋简体" w:eastAsia="方正小标宋简体" w:cs="方正小标宋简体"/>
          <w:color w:val="000000"/>
          <w:sz w:val="44"/>
          <w:szCs w:val="44"/>
          <w:lang w:val="en-US" w:eastAsia="zh-CN"/>
        </w:rPr>
        <w:t>2</w:t>
      </w:r>
      <w:r>
        <w:rPr>
          <w:rFonts w:hint="eastAsia" w:ascii="方正小标宋简体" w:hAnsi="方正小标宋简体" w:eastAsia="方正小标宋简体" w:cs="方正小标宋简体"/>
          <w:color w:val="000000"/>
          <w:sz w:val="44"/>
          <w:szCs w:val="44"/>
        </w:rPr>
        <w:t>年度山东省人文社会科学课题指南</w:t>
      </w:r>
    </w:p>
    <w:p>
      <w:pPr>
        <w:pStyle w:val="5"/>
        <w:keepNext w:val="0"/>
        <w:keepLines w:val="0"/>
        <w:pageBreakBefore w:val="0"/>
        <w:kinsoku/>
        <w:wordWrap/>
        <w:overflowPunct/>
        <w:topLinePunct w:val="0"/>
        <w:autoSpaceDN/>
        <w:bidi w:val="0"/>
        <w:adjustRightInd/>
        <w:spacing w:line="600" w:lineRule="exact"/>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年度山东省人文社会科学课题的指导思想是：</w:t>
      </w:r>
      <w:r>
        <w:rPr>
          <w:rFonts w:hint="eastAsia" w:ascii="仿宋_GB2312" w:hAnsi="仿宋_GB2312" w:eastAsia="仿宋_GB2312" w:cs="仿宋_GB2312"/>
          <w:color w:val="auto"/>
          <w:sz w:val="32"/>
          <w:szCs w:val="32"/>
          <w:lang w:val="en-US" w:eastAsia="zh-CN"/>
        </w:rPr>
        <w:t>坚持</w:t>
      </w:r>
      <w:r>
        <w:rPr>
          <w:rFonts w:hint="eastAsia" w:ascii="仿宋_GB2312" w:hAnsi="仿宋_GB2312" w:eastAsia="仿宋_GB2312" w:cs="仿宋_GB2312"/>
          <w:sz w:val="32"/>
          <w:szCs w:val="32"/>
        </w:rPr>
        <w:t>以习近平新时代中国特色社会主义思想为指导，</w:t>
      </w:r>
      <w:r>
        <w:rPr>
          <w:rFonts w:hint="eastAsia" w:ascii="仿宋_GB2312" w:hAnsi="仿宋_GB2312" w:eastAsia="仿宋_GB2312" w:cs="仿宋_GB2312"/>
          <w:sz w:val="32"/>
          <w:szCs w:val="32"/>
          <w:lang w:eastAsia="zh-CN"/>
        </w:rPr>
        <w:t>深入</w:t>
      </w:r>
      <w:r>
        <w:rPr>
          <w:rFonts w:hint="eastAsia" w:ascii="仿宋_GB2312" w:hAnsi="仿宋_GB2312" w:eastAsia="仿宋_GB2312" w:cs="仿宋_GB2312"/>
          <w:sz w:val="32"/>
          <w:szCs w:val="32"/>
        </w:rPr>
        <w:t>贯彻落实党的十九大和十九届历次全会精神</w:t>
      </w:r>
      <w:r>
        <w:rPr>
          <w:rFonts w:hint="eastAsia" w:ascii="仿宋_GB2312" w:hAnsi="仿宋_GB2312" w:eastAsia="仿宋_GB2312" w:cs="仿宋_GB2312"/>
          <w:color w:val="auto"/>
          <w:sz w:val="32"/>
          <w:szCs w:val="32"/>
        </w:rPr>
        <w:t>，认真</w:t>
      </w:r>
      <w:r>
        <w:rPr>
          <w:rFonts w:hint="eastAsia" w:ascii="仿宋_GB2312" w:hAnsi="仿宋_GB2312" w:eastAsia="仿宋_GB2312" w:cs="仿宋_GB2312"/>
          <w:color w:val="auto"/>
          <w:sz w:val="32"/>
          <w:szCs w:val="32"/>
          <w:lang w:eastAsia="zh-CN"/>
        </w:rPr>
        <w:t>学习</w:t>
      </w:r>
      <w:r>
        <w:rPr>
          <w:rFonts w:hint="eastAsia" w:ascii="仿宋_GB2312" w:hAnsi="仿宋_GB2312" w:eastAsia="仿宋_GB2312" w:cs="仿宋_GB2312"/>
          <w:color w:val="auto"/>
          <w:sz w:val="32"/>
          <w:szCs w:val="32"/>
        </w:rPr>
        <w:t>贯彻习近平总书记</w:t>
      </w:r>
      <w:r>
        <w:rPr>
          <w:rFonts w:hint="eastAsia" w:ascii="仿宋_GB2312" w:hAnsi="仿宋_GB2312" w:eastAsia="仿宋_GB2312" w:cs="仿宋_GB2312"/>
          <w:color w:val="auto"/>
          <w:sz w:val="32"/>
          <w:szCs w:val="32"/>
          <w:lang w:eastAsia="zh-CN"/>
        </w:rPr>
        <w:t>关于哲学社会科学工作的重要论述和对山东工作的重要指示要求</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锚定“走在前列、全面开创”“三个走在前”总遵循、总定位、总航标，坚持以我省经济社会发展中的重大理论和现实问题为主攻方向，坚持基础研究和应用研究并重</w:t>
      </w:r>
      <w:r>
        <w:rPr>
          <w:rFonts w:hint="eastAsia" w:ascii="仿宋_GB2312" w:hAnsi="仿宋_GB2312" w:eastAsia="仿宋_GB2312" w:cs="仿宋_GB2312"/>
          <w:color w:val="auto"/>
          <w:sz w:val="32"/>
          <w:szCs w:val="32"/>
        </w:rPr>
        <w:t>，促进山东哲学社会科学繁荣发展，为</w:t>
      </w:r>
      <w:r>
        <w:rPr>
          <w:rFonts w:hint="eastAsia" w:ascii="仿宋_GB2312" w:hAnsi="仿宋_GB2312" w:eastAsia="仿宋_GB2312" w:cs="仿宋_GB2312"/>
          <w:color w:val="auto"/>
          <w:sz w:val="32"/>
          <w:szCs w:val="32"/>
          <w:lang w:eastAsia="zh-CN"/>
        </w:rPr>
        <w:t>开创新时代社会主义现代化强省建设新局面</w:t>
      </w:r>
      <w:r>
        <w:rPr>
          <w:rFonts w:hint="eastAsia" w:ascii="仿宋_GB2312" w:hAnsi="仿宋_GB2312" w:eastAsia="仿宋_GB2312" w:cs="仿宋_GB2312"/>
          <w:color w:val="auto"/>
          <w:sz w:val="32"/>
          <w:szCs w:val="32"/>
        </w:rPr>
        <w:t>提供理论支持和智力服务。</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申报者可参考《指南》所列题目的方向、范围和领域选题，也可结合本人（课题组）已有的研究基础自拟题目进行申报。</w:t>
      </w:r>
      <w:r>
        <w:rPr>
          <w:rFonts w:hint="eastAsia" w:ascii="仿宋_GB2312" w:hAnsi="仿宋_GB2312" w:eastAsia="仿宋_GB2312" w:cs="仿宋_GB2312"/>
          <w:sz w:val="32"/>
          <w:szCs w:val="32"/>
        </w:rPr>
        <w:t>基础研究要力求具有原创性、开拓性和较高的学术思想价值，应用研究要具有现实性、针对性和较强的决策参考价值。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rPr>
      </w:pPr>
      <w:bookmarkStart w:id="0" w:name="_Toc60086854"/>
      <w:r>
        <w:rPr>
          <w:rFonts w:hint="eastAsia" w:ascii="黑体" w:hAnsi="黑体" w:eastAsia="黑体" w:cs="黑体"/>
          <w:sz w:val="32"/>
          <w:szCs w:val="32"/>
          <w:lang w:eastAsia="zh-CN"/>
        </w:rPr>
        <w:t>一、</w:t>
      </w:r>
      <w:r>
        <w:rPr>
          <w:rFonts w:hint="eastAsia" w:ascii="黑体" w:hAnsi="黑体" w:eastAsia="黑体" w:cs="黑体"/>
          <w:sz w:val="32"/>
          <w:szCs w:val="32"/>
        </w:rPr>
        <w:t>基础研究课题</w:t>
      </w:r>
    </w:p>
    <w:bookmarkEnd w:id="0"/>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马克思主义与科学社会主义</w:t>
      </w:r>
      <w:r>
        <w:rPr>
          <w:rFonts w:hint="eastAsia" w:ascii="仿宋_GB2312" w:hAnsi="仿宋_GB2312" w:eastAsia="仿宋_GB2312" w:cs="仿宋_GB2312"/>
          <w:sz w:val="32"/>
          <w:szCs w:val="32"/>
          <w:lang w:val="en-US" w:eastAsia="zh-CN"/>
        </w:rPr>
        <w:t>学科基础问题研究、</w:t>
      </w:r>
      <w:r>
        <w:rPr>
          <w:rFonts w:hint="eastAsia" w:ascii="仿宋_GB2312" w:hAnsi="仿宋_GB2312" w:eastAsia="仿宋_GB2312" w:cs="仿宋_GB2312"/>
          <w:sz w:val="32"/>
          <w:szCs w:val="32"/>
        </w:rPr>
        <w:t>党史与党建</w:t>
      </w:r>
      <w:r>
        <w:rPr>
          <w:rFonts w:hint="eastAsia" w:ascii="仿宋_GB2312" w:hAnsi="仿宋_GB2312" w:eastAsia="仿宋_GB2312" w:cs="仿宋_GB2312"/>
          <w:sz w:val="32"/>
          <w:szCs w:val="32"/>
          <w:lang w:val="en-US" w:eastAsia="zh-CN"/>
        </w:rPr>
        <w:t>学科基础问题研究、</w:t>
      </w:r>
      <w:r>
        <w:rPr>
          <w:rFonts w:hint="eastAsia" w:ascii="仿宋_GB2312" w:hAnsi="仿宋_GB2312" w:eastAsia="仿宋_GB2312" w:cs="仿宋_GB2312"/>
          <w:sz w:val="32"/>
          <w:szCs w:val="32"/>
        </w:rPr>
        <w:t>哲学</w:t>
      </w:r>
      <w:r>
        <w:rPr>
          <w:rFonts w:hint="eastAsia" w:ascii="仿宋_GB2312" w:hAnsi="仿宋_GB2312" w:eastAsia="仿宋_GB2312" w:cs="仿宋_GB2312"/>
          <w:sz w:val="32"/>
          <w:szCs w:val="32"/>
          <w:lang w:val="en-US" w:eastAsia="zh-CN"/>
        </w:rPr>
        <w:t>学科基础问题研究、</w:t>
      </w:r>
      <w:r>
        <w:rPr>
          <w:rFonts w:hint="eastAsia" w:ascii="仿宋_GB2312" w:hAnsi="仿宋_GB2312" w:eastAsia="仿宋_GB2312" w:cs="仿宋_GB2312"/>
          <w:sz w:val="32"/>
          <w:szCs w:val="32"/>
        </w:rPr>
        <w:t>理论经济</w:t>
      </w:r>
      <w:r>
        <w:rPr>
          <w:rFonts w:hint="eastAsia" w:ascii="仿宋_GB2312" w:hAnsi="仿宋_GB2312" w:eastAsia="仿宋_GB2312" w:cs="仿宋_GB2312"/>
          <w:sz w:val="32"/>
          <w:szCs w:val="32"/>
          <w:lang w:val="en-US" w:eastAsia="zh-CN"/>
        </w:rPr>
        <w:t>学学科基础问题研究、</w:t>
      </w:r>
      <w:r>
        <w:rPr>
          <w:rFonts w:hint="eastAsia" w:ascii="仿宋_GB2312" w:hAnsi="仿宋_GB2312" w:eastAsia="仿宋_GB2312" w:cs="仿宋_GB2312"/>
          <w:sz w:val="32"/>
          <w:szCs w:val="32"/>
        </w:rPr>
        <w:t>统计学</w:t>
      </w:r>
      <w:r>
        <w:rPr>
          <w:rFonts w:hint="eastAsia" w:ascii="仿宋_GB2312" w:hAnsi="仿宋_GB2312" w:eastAsia="仿宋_GB2312" w:cs="仿宋_GB2312"/>
          <w:sz w:val="32"/>
          <w:szCs w:val="32"/>
          <w:lang w:val="en-US" w:eastAsia="zh-CN"/>
        </w:rPr>
        <w:t>学科基础问题研究、</w:t>
      </w:r>
      <w:r>
        <w:rPr>
          <w:rFonts w:hint="eastAsia" w:ascii="仿宋_GB2312" w:hAnsi="仿宋_GB2312" w:eastAsia="仿宋_GB2312" w:cs="仿宋_GB2312"/>
          <w:sz w:val="32"/>
          <w:szCs w:val="32"/>
        </w:rPr>
        <w:t>政治学</w:t>
      </w:r>
      <w:r>
        <w:rPr>
          <w:rFonts w:hint="eastAsia" w:ascii="仿宋_GB2312" w:hAnsi="仿宋_GB2312" w:eastAsia="仿宋_GB2312" w:cs="仿宋_GB2312"/>
          <w:sz w:val="32"/>
          <w:szCs w:val="32"/>
          <w:lang w:val="en-US" w:eastAsia="zh-CN"/>
        </w:rPr>
        <w:t>学科基础问题研究、</w:t>
      </w:r>
      <w:r>
        <w:rPr>
          <w:rFonts w:hint="eastAsia" w:ascii="仿宋_GB2312" w:hAnsi="仿宋_GB2312" w:eastAsia="仿宋_GB2312" w:cs="仿宋_GB2312"/>
          <w:sz w:val="32"/>
          <w:szCs w:val="32"/>
        </w:rPr>
        <w:t>法学</w:t>
      </w:r>
      <w:r>
        <w:rPr>
          <w:rFonts w:hint="eastAsia" w:ascii="仿宋_GB2312" w:hAnsi="仿宋_GB2312" w:eastAsia="仿宋_GB2312" w:cs="仿宋_GB2312"/>
          <w:sz w:val="32"/>
          <w:szCs w:val="32"/>
          <w:lang w:val="en-US" w:eastAsia="zh-CN"/>
        </w:rPr>
        <w:t>学科基础问题研究、</w:t>
      </w:r>
      <w:r>
        <w:rPr>
          <w:rFonts w:hint="eastAsia" w:ascii="仿宋_GB2312" w:hAnsi="仿宋_GB2312" w:eastAsia="仿宋_GB2312" w:cs="仿宋_GB2312"/>
          <w:sz w:val="32"/>
          <w:szCs w:val="32"/>
        </w:rPr>
        <w:t>社会学</w:t>
      </w:r>
      <w:r>
        <w:rPr>
          <w:rFonts w:hint="eastAsia" w:ascii="仿宋_GB2312" w:hAnsi="仿宋_GB2312" w:eastAsia="仿宋_GB2312" w:cs="仿宋_GB2312"/>
          <w:sz w:val="32"/>
          <w:szCs w:val="32"/>
          <w:lang w:val="en-US" w:eastAsia="zh-CN"/>
        </w:rPr>
        <w:t>学科基础问题研究、</w:t>
      </w:r>
      <w:r>
        <w:rPr>
          <w:rFonts w:hint="eastAsia" w:ascii="仿宋_GB2312" w:hAnsi="仿宋_GB2312" w:eastAsia="仿宋_GB2312" w:cs="仿宋_GB2312"/>
          <w:sz w:val="32"/>
          <w:szCs w:val="32"/>
        </w:rPr>
        <w:t>人口学</w:t>
      </w:r>
      <w:r>
        <w:rPr>
          <w:rFonts w:hint="eastAsia" w:ascii="仿宋_GB2312" w:hAnsi="仿宋_GB2312" w:eastAsia="仿宋_GB2312" w:cs="仿宋_GB2312"/>
          <w:sz w:val="32"/>
          <w:szCs w:val="32"/>
          <w:lang w:val="en-US" w:eastAsia="zh-CN"/>
        </w:rPr>
        <w:t>学科基础问题研究、</w:t>
      </w:r>
      <w:r>
        <w:rPr>
          <w:rFonts w:hint="eastAsia" w:ascii="仿宋_GB2312" w:hAnsi="仿宋_GB2312" w:eastAsia="仿宋_GB2312" w:cs="仿宋_GB2312"/>
          <w:sz w:val="32"/>
          <w:szCs w:val="32"/>
        </w:rPr>
        <w:t>民族学</w:t>
      </w:r>
      <w:r>
        <w:rPr>
          <w:rFonts w:hint="eastAsia" w:ascii="仿宋_GB2312" w:hAnsi="仿宋_GB2312" w:eastAsia="仿宋_GB2312" w:cs="仿宋_GB2312"/>
          <w:sz w:val="32"/>
          <w:szCs w:val="32"/>
          <w:lang w:val="en-US" w:eastAsia="zh-CN"/>
        </w:rPr>
        <w:t>学科基础问题研究、</w:t>
      </w:r>
      <w:r>
        <w:rPr>
          <w:rFonts w:hint="eastAsia" w:ascii="仿宋_GB2312" w:hAnsi="仿宋_GB2312" w:eastAsia="仿宋_GB2312" w:cs="仿宋_GB2312"/>
          <w:sz w:val="32"/>
          <w:szCs w:val="32"/>
        </w:rPr>
        <w:t>国际问题研究</w:t>
      </w:r>
      <w:r>
        <w:rPr>
          <w:rFonts w:hint="eastAsia" w:ascii="仿宋_GB2312" w:hAnsi="仿宋_GB2312" w:eastAsia="仿宋_GB2312" w:cs="仿宋_GB2312"/>
          <w:sz w:val="32"/>
          <w:szCs w:val="32"/>
          <w:lang w:val="en-US" w:eastAsia="zh-CN"/>
        </w:rPr>
        <w:t>学科基础问题研究、</w:t>
      </w:r>
      <w:r>
        <w:rPr>
          <w:rFonts w:hint="eastAsia" w:ascii="仿宋_GB2312" w:hAnsi="仿宋_GB2312" w:eastAsia="仿宋_GB2312" w:cs="仿宋_GB2312"/>
          <w:sz w:val="32"/>
          <w:szCs w:val="32"/>
        </w:rPr>
        <w:t>历史学</w:t>
      </w:r>
      <w:r>
        <w:rPr>
          <w:rFonts w:hint="eastAsia" w:ascii="仿宋_GB2312" w:hAnsi="仿宋_GB2312" w:eastAsia="仿宋_GB2312" w:cs="仿宋_GB2312"/>
          <w:sz w:val="32"/>
          <w:szCs w:val="32"/>
          <w:lang w:val="en-US" w:eastAsia="zh-CN"/>
        </w:rPr>
        <w:t>学科基础问题研究、</w:t>
      </w:r>
      <w:r>
        <w:rPr>
          <w:rFonts w:hint="eastAsia" w:ascii="仿宋_GB2312" w:hAnsi="仿宋_GB2312" w:eastAsia="仿宋_GB2312" w:cs="仿宋_GB2312"/>
          <w:sz w:val="32"/>
          <w:szCs w:val="32"/>
        </w:rPr>
        <w:t>考古学</w:t>
      </w:r>
      <w:r>
        <w:rPr>
          <w:rFonts w:hint="eastAsia" w:ascii="仿宋_GB2312" w:hAnsi="仿宋_GB2312" w:eastAsia="仿宋_GB2312" w:cs="仿宋_GB2312"/>
          <w:sz w:val="32"/>
          <w:szCs w:val="32"/>
          <w:lang w:val="en-US" w:eastAsia="zh-CN"/>
        </w:rPr>
        <w:t>学科基础问题研究、</w:t>
      </w:r>
      <w:r>
        <w:rPr>
          <w:rFonts w:hint="eastAsia" w:ascii="仿宋_GB2312" w:hAnsi="仿宋_GB2312" w:eastAsia="仿宋_GB2312" w:cs="仿宋_GB2312"/>
          <w:sz w:val="32"/>
          <w:szCs w:val="32"/>
        </w:rPr>
        <w:t>宗教学</w:t>
      </w:r>
      <w:r>
        <w:rPr>
          <w:rFonts w:hint="eastAsia" w:ascii="仿宋_GB2312" w:hAnsi="仿宋_GB2312" w:eastAsia="仿宋_GB2312" w:cs="仿宋_GB2312"/>
          <w:sz w:val="32"/>
          <w:szCs w:val="32"/>
          <w:lang w:val="en-US" w:eastAsia="zh-CN"/>
        </w:rPr>
        <w:t>学科基础问题研究、</w:t>
      </w:r>
      <w:r>
        <w:rPr>
          <w:rFonts w:hint="eastAsia" w:ascii="仿宋_GB2312" w:hAnsi="仿宋_GB2312" w:eastAsia="仿宋_GB2312" w:cs="仿宋_GB2312"/>
          <w:sz w:val="32"/>
          <w:szCs w:val="32"/>
        </w:rPr>
        <w:t>中国文学</w:t>
      </w:r>
      <w:r>
        <w:rPr>
          <w:rFonts w:hint="eastAsia" w:ascii="仿宋_GB2312" w:hAnsi="仿宋_GB2312" w:eastAsia="仿宋_GB2312" w:cs="仿宋_GB2312"/>
          <w:sz w:val="32"/>
          <w:szCs w:val="32"/>
          <w:lang w:val="en-US" w:eastAsia="zh-CN"/>
        </w:rPr>
        <w:t>学科基础问题研究、</w:t>
      </w:r>
      <w:r>
        <w:rPr>
          <w:rFonts w:hint="eastAsia" w:ascii="仿宋_GB2312" w:hAnsi="仿宋_GB2312" w:eastAsia="仿宋_GB2312" w:cs="仿宋_GB2312"/>
          <w:sz w:val="32"/>
          <w:szCs w:val="32"/>
        </w:rPr>
        <w:t>外国文学</w:t>
      </w:r>
      <w:r>
        <w:rPr>
          <w:rFonts w:hint="eastAsia" w:ascii="仿宋_GB2312" w:hAnsi="仿宋_GB2312" w:eastAsia="仿宋_GB2312" w:cs="仿宋_GB2312"/>
          <w:sz w:val="32"/>
          <w:szCs w:val="32"/>
          <w:lang w:val="en-US" w:eastAsia="zh-CN"/>
        </w:rPr>
        <w:t>学科基础问题研究、</w:t>
      </w:r>
      <w:r>
        <w:rPr>
          <w:rFonts w:hint="eastAsia" w:ascii="仿宋_GB2312" w:hAnsi="仿宋_GB2312" w:eastAsia="仿宋_GB2312" w:cs="仿宋_GB2312"/>
          <w:sz w:val="32"/>
          <w:szCs w:val="32"/>
        </w:rPr>
        <w:t>语言学</w:t>
      </w:r>
      <w:r>
        <w:rPr>
          <w:rFonts w:hint="eastAsia" w:ascii="仿宋_GB2312" w:hAnsi="仿宋_GB2312" w:eastAsia="仿宋_GB2312" w:cs="仿宋_GB2312"/>
          <w:sz w:val="32"/>
          <w:szCs w:val="32"/>
          <w:lang w:val="en-US" w:eastAsia="zh-CN"/>
        </w:rPr>
        <w:t>学科基础问题研究、</w:t>
      </w:r>
      <w:r>
        <w:rPr>
          <w:rFonts w:hint="eastAsia" w:ascii="仿宋_GB2312" w:hAnsi="仿宋_GB2312" w:eastAsia="仿宋_GB2312" w:cs="仿宋_GB2312"/>
          <w:sz w:val="32"/>
          <w:szCs w:val="32"/>
        </w:rPr>
        <w:t>新闻学与传播学</w:t>
      </w:r>
      <w:r>
        <w:rPr>
          <w:rFonts w:hint="eastAsia" w:ascii="仿宋_GB2312" w:hAnsi="仿宋_GB2312" w:eastAsia="仿宋_GB2312" w:cs="仿宋_GB2312"/>
          <w:sz w:val="32"/>
          <w:szCs w:val="32"/>
          <w:lang w:val="en-US" w:eastAsia="zh-CN"/>
        </w:rPr>
        <w:t>学科基础问题研究、</w:t>
      </w:r>
      <w:r>
        <w:rPr>
          <w:rFonts w:hint="eastAsia" w:ascii="仿宋_GB2312" w:hAnsi="仿宋_GB2312" w:eastAsia="仿宋_GB2312" w:cs="仿宋_GB2312"/>
          <w:sz w:val="32"/>
          <w:szCs w:val="32"/>
        </w:rPr>
        <w:t>图书馆情报与文献学</w:t>
      </w:r>
      <w:r>
        <w:rPr>
          <w:rFonts w:hint="eastAsia" w:ascii="仿宋_GB2312" w:hAnsi="仿宋_GB2312" w:eastAsia="仿宋_GB2312" w:cs="仿宋_GB2312"/>
          <w:sz w:val="32"/>
          <w:szCs w:val="32"/>
          <w:lang w:val="en-US" w:eastAsia="zh-CN"/>
        </w:rPr>
        <w:t>学科基础问题研究、</w:t>
      </w:r>
      <w:r>
        <w:rPr>
          <w:rFonts w:hint="eastAsia" w:ascii="仿宋_GB2312" w:hAnsi="仿宋_GB2312" w:eastAsia="仿宋_GB2312" w:cs="仿宋_GB2312"/>
          <w:sz w:val="32"/>
          <w:szCs w:val="32"/>
        </w:rPr>
        <w:t>体育学</w:t>
      </w:r>
      <w:r>
        <w:rPr>
          <w:rFonts w:hint="eastAsia" w:ascii="仿宋_GB2312" w:hAnsi="仿宋_GB2312" w:eastAsia="仿宋_GB2312" w:cs="仿宋_GB2312"/>
          <w:sz w:val="32"/>
          <w:szCs w:val="32"/>
          <w:lang w:val="en-US" w:eastAsia="zh-CN"/>
        </w:rPr>
        <w:t>学科基础问题研究、</w:t>
      </w:r>
      <w:r>
        <w:rPr>
          <w:rFonts w:hint="eastAsia" w:ascii="仿宋_GB2312" w:hAnsi="仿宋_GB2312" w:eastAsia="仿宋_GB2312" w:cs="仿宋_GB2312"/>
          <w:sz w:val="32"/>
          <w:szCs w:val="32"/>
        </w:rPr>
        <w:t>管理学</w:t>
      </w:r>
      <w:r>
        <w:rPr>
          <w:rFonts w:hint="eastAsia" w:ascii="仿宋_GB2312" w:hAnsi="仿宋_GB2312" w:eastAsia="仿宋_GB2312" w:cs="仿宋_GB2312"/>
          <w:sz w:val="32"/>
          <w:szCs w:val="32"/>
          <w:lang w:val="en-US" w:eastAsia="zh-CN"/>
        </w:rPr>
        <w:t>学科基础问题研究、</w:t>
      </w:r>
      <w:r>
        <w:rPr>
          <w:rFonts w:hint="eastAsia" w:ascii="仿宋_GB2312" w:hAnsi="仿宋_GB2312" w:eastAsia="仿宋_GB2312" w:cs="仿宋_GB2312"/>
          <w:sz w:val="32"/>
          <w:szCs w:val="32"/>
        </w:rPr>
        <w:t>教育学</w:t>
      </w:r>
      <w:r>
        <w:rPr>
          <w:rFonts w:hint="eastAsia" w:ascii="仿宋_GB2312" w:hAnsi="仿宋_GB2312" w:eastAsia="仿宋_GB2312" w:cs="仿宋_GB2312"/>
          <w:sz w:val="32"/>
          <w:szCs w:val="32"/>
          <w:lang w:val="en-US" w:eastAsia="zh-CN"/>
        </w:rPr>
        <w:t>学科基础问题研究、</w:t>
      </w:r>
      <w:r>
        <w:rPr>
          <w:rFonts w:hint="eastAsia" w:ascii="仿宋_GB2312" w:hAnsi="仿宋_GB2312" w:eastAsia="仿宋_GB2312" w:cs="仿宋_GB2312"/>
          <w:sz w:val="32"/>
          <w:szCs w:val="32"/>
        </w:rPr>
        <w:t>艺术学</w:t>
      </w:r>
      <w:r>
        <w:rPr>
          <w:rFonts w:hint="eastAsia" w:ascii="仿宋_GB2312" w:hAnsi="仿宋_GB2312" w:eastAsia="仿宋_GB2312" w:cs="仿宋_GB2312"/>
          <w:sz w:val="32"/>
          <w:szCs w:val="32"/>
          <w:lang w:val="en-US" w:eastAsia="zh-CN"/>
        </w:rPr>
        <w:t>学科基础问题研究等。</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二、应用研究课题</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1.山东服务和融入新发展格局研究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2.山东增强经济社会发展创新力研究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3.山东推动黄河流域生态保护和高质量发展研究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4.山东推进供给侧结构性改革研究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5.山东扩大有效需求研究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6.山东促进共同富裕研究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7.山东保持经济平稳增长研究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8.山东新型城镇化建设研究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9.山东推动消费扩容提质研究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10.山东强化科技创新研究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11.山东数字经济发展研究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12.山东推进工业互联网建设研究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13.山东加快新旧动能转换研究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14.山东打造乡村振兴齐鲁样板研究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15.山东持续深化农业农村改革研究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16.山东推进海洋强省建设研究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17.大河流域比较研究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18.山东深化改革扩大开放研究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19.山东自贸试验区高质量对接RCEP政策路径研究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20.上合示范区发展与山东对外开放提质增效研究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21.山东建设一流营商环境研究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22.山东促进生态环境持续好转研究</w:t>
      </w:r>
    </w:p>
    <w:p>
      <w:pPr>
        <w:pStyle w:val="5"/>
        <w:keepNext w:val="0"/>
        <w:keepLines w:val="0"/>
        <w:pageBreakBefore w:val="0"/>
        <w:kinsoku/>
        <w:wordWrap/>
        <w:overflowPunct/>
        <w:topLinePunct w:val="0"/>
        <w:autoSpaceDE/>
        <w:autoSpaceDN/>
        <w:bidi w:val="0"/>
        <w:adjustRightInd/>
        <w:spacing w:line="60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23.山东省实现“双碳”战略目标路径研究</w:t>
      </w:r>
    </w:p>
    <w:p>
      <w:pPr>
        <w:pStyle w:val="5"/>
        <w:keepNext w:val="0"/>
        <w:keepLines w:val="0"/>
        <w:pageBreakBefore w:val="0"/>
        <w:kinsoku/>
        <w:wordWrap/>
        <w:overflowPunct/>
        <w:topLinePunct w:val="0"/>
        <w:autoSpaceDE/>
        <w:autoSpaceDN/>
        <w:bidi w:val="0"/>
        <w:adjustRightInd/>
        <w:spacing w:line="60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24.山东省能源结构调整策略路径研究</w:t>
      </w:r>
    </w:p>
    <w:p>
      <w:pPr>
        <w:pStyle w:val="5"/>
        <w:keepNext w:val="0"/>
        <w:keepLines w:val="0"/>
        <w:pageBreakBefore w:val="0"/>
        <w:kinsoku/>
        <w:wordWrap/>
        <w:overflowPunct/>
        <w:topLinePunct w:val="0"/>
        <w:autoSpaceDE/>
        <w:autoSpaceDN/>
        <w:bidi w:val="0"/>
        <w:adjustRightInd/>
        <w:spacing w:line="60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25.后疫情时代面临的机遇与挑战研究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26.生态产品价值实现机制研究</w:t>
      </w:r>
    </w:p>
    <w:p>
      <w:pPr>
        <w:pStyle w:val="5"/>
        <w:keepNext w:val="0"/>
        <w:keepLines w:val="0"/>
        <w:pageBreakBefore w:val="0"/>
        <w:kinsoku/>
        <w:wordWrap/>
        <w:overflowPunct/>
        <w:topLinePunct w:val="0"/>
        <w:autoSpaceDE/>
        <w:autoSpaceDN/>
        <w:bidi w:val="0"/>
        <w:adjustRightInd/>
        <w:spacing w:line="60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000000"/>
          <w:sz w:val="32"/>
          <w:szCs w:val="32"/>
          <w:lang w:val="en-US" w:eastAsia="zh-CN"/>
        </w:rPr>
        <w:t xml:space="preserve">    27.</w:t>
      </w:r>
      <w:r>
        <w:rPr>
          <w:rFonts w:hint="eastAsia" w:ascii="仿宋_GB2312" w:hAnsi="仿宋_GB2312" w:eastAsia="仿宋_GB2312" w:cs="仿宋_GB2312"/>
          <w:color w:val="auto"/>
          <w:sz w:val="32"/>
          <w:szCs w:val="32"/>
          <w:lang w:val="en-US" w:eastAsia="zh-CN"/>
        </w:rPr>
        <w:t>山东完善公共服务体系研究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28.山东促进教育高质量发展研究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29.山东完善社会保障体系研究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30.山东应对老龄化问题实现路径研究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31.山东提高卫生健康水平研究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32.推进新时代美德山东建设研究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33.推进长城、大运河、黄河国家文化公园（山东段）建设研究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34.山东推进文旅融合发展研究</w:t>
      </w:r>
    </w:p>
    <w:p>
      <w:pPr>
        <w:pStyle w:val="5"/>
        <w:keepNext w:val="0"/>
        <w:keepLines w:val="0"/>
        <w:pageBreakBefore w:val="0"/>
        <w:kinsoku/>
        <w:wordWrap/>
        <w:overflowPunct/>
        <w:topLinePunct w:val="0"/>
        <w:autoSpaceDE/>
        <w:autoSpaceDN/>
        <w:bidi w:val="0"/>
        <w:adjustRightInd/>
        <w:spacing w:line="60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35.“好客山东 好品山东”品牌提升策略研究</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36.完善网格化管理服务体系研究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37.山东基层党组织提升组织力的实践路径研究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38.台湾地区半导体产业发展概况和山东合作研究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39.加快推动海峡两岸新旧动能转换产业合作区建设对策研究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40.港澳地区海洋产业发展和山东发展海洋经济合作研究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41.推动鲁台农业合作研究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42.儒家文化在增进台湾青少年文化认同方面的作用研究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43.齐鲁文化在台湾的传播和影响研究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44.新形势下鲁台高等教育交流合作研究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45.建设黄河口国家公园，打造大江大河三角洲生态保护治理的重要标杆研究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46.黄河三角洲农业高新技术产业示范区打造国家盐碱地农业创新高地和盐碱地综合利用示范地研究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47.深化油地融合发展，保障国家能源安全的东营实践与探索研究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48.黄河三角洲生态产品价值实现机制与路径研究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49.黄河下游城市（以东营市为例）落实“四水四定”打造黄河流域节水型社会示范城市研究</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三、专项研究课题</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color w:val="auto"/>
          <w:sz w:val="32"/>
          <w:szCs w:val="32"/>
          <w:lang w:val="en-US" w:eastAsia="zh-CN"/>
        </w:rPr>
        <w:t>（一）</w:t>
      </w:r>
      <w:r>
        <w:rPr>
          <w:rFonts w:hint="eastAsia" w:ascii="楷体_GB2312" w:hAnsi="楷体_GB2312" w:eastAsia="楷体_GB2312" w:cs="楷体_GB2312"/>
          <w:b/>
          <w:bCs/>
          <w:sz w:val="32"/>
          <w:szCs w:val="32"/>
        </w:rPr>
        <w:t>习近平新时代中国特色社会主义思想和十九届六中全会精神研究</w:t>
      </w:r>
      <w:r>
        <w:rPr>
          <w:rFonts w:hint="eastAsia" w:ascii="楷体_GB2312" w:hAnsi="楷体_GB2312" w:eastAsia="楷体_GB2312" w:cs="楷体_GB2312"/>
          <w:b/>
          <w:bCs/>
          <w:sz w:val="32"/>
          <w:szCs w:val="32"/>
          <w:lang w:eastAsia="zh-CN"/>
        </w:rPr>
        <w:t>专项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1.马克思主义中国化“两个结合”的内涵及规律研究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习近平总书记关于坚持和加强党的全面领导重要论述研究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.习近平总书记关于高质量发展重要论述研究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.习近平总书记关于发展全过程人民民主的重要论述研究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.习近平法治思想的原创性、独创性理论贡献研究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.习近平外交思想研究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.习近平总书记关于坚持“一国两制”和推进祖国统一重</w:t>
      </w:r>
      <w:r>
        <w:rPr>
          <w:rFonts w:hint="eastAsia" w:ascii="仿宋_GB2312" w:hAnsi="仿宋_GB2312" w:eastAsia="仿宋_GB2312" w:cs="仿宋_GB2312"/>
          <w:color w:val="auto"/>
          <w:sz w:val="32"/>
          <w:szCs w:val="32"/>
          <w:lang w:eastAsia="zh-CN"/>
        </w:rPr>
        <w:t>要</w:t>
      </w:r>
      <w:r>
        <w:rPr>
          <w:rFonts w:hint="eastAsia" w:ascii="仿宋_GB2312" w:hAnsi="仿宋_GB2312" w:eastAsia="仿宋_GB2312" w:cs="仿宋_GB2312"/>
          <w:color w:val="auto"/>
          <w:sz w:val="32"/>
          <w:szCs w:val="32"/>
        </w:rPr>
        <w:t>论述研究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.习近平新时代中国特色社会主义思想译介与国际传播研究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.习近平总书记关于体育工作的重要论述研究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.伟大建党精神形成的理论渊源、实践基础、文化底蕴研究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.“两个确立”对新时代党和国家事业发展的决定性意义研究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.中国共产党百年历程与中华民族伟大复兴研究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.中国共产党百年历程与全面建成小康社会研究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rPr>
        <w:t>.中国共产党创造全过程人民民主的历程和经验研究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.中国共产党创造人类文明新形态的历程和经验研究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16</w:t>
      </w:r>
      <w:r>
        <w:rPr>
          <w:rFonts w:hint="eastAsia" w:ascii="仿宋_GB2312" w:hAnsi="仿宋_GB2312" w:eastAsia="仿宋_GB2312" w:cs="仿宋_GB2312"/>
          <w:color w:val="auto"/>
          <w:sz w:val="32"/>
          <w:szCs w:val="32"/>
        </w:rPr>
        <w:t>.中国共产党探索和推进共同富裕的历程和经验研究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17</w:t>
      </w:r>
      <w:r>
        <w:rPr>
          <w:rFonts w:hint="eastAsia" w:ascii="仿宋_GB2312" w:hAnsi="仿宋_GB2312" w:eastAsia="仿宋_GB2312" w:cs="仿宋_GB2312"/>
          <w:color w:val="auto"/>
          <w:sz w:val="32"/>
          <w:szCs w:val="32"/>
        </w:rPr>
        <w:t>.建立健全“两个维护”制度研究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18</w:t>
      </w:r>
      <w:r>
        <w:rPr>
          <w:rFonts w:hint="eastAsia" w:ascii="仿宋_GB2312" w:hAnsi="仿宋_GB2312" w:eastAsia="仿宋_GB2312" w:cs="仿宋_GB2312"/>
          <w:color w:val="auto"/>
          <w:sz w:val="32"/>
          <w:szCs w:val="32"/>
        </w:rPr>
        <w:t>.胸怀“国之大者”、</w:t>
      </w:r>
      <w:r>
        <w:rPr>
          <w:rFonts w:hint="eastAsia" w:ascii="仿宋_GB2312" w:hAnsi="仿宋_GB2312" w:eastAsia="仿宋_GB2312" w:cs="仿宋_GB2312"/>
          <w:color w:val="auto"/>
          <w:sz w:val="32"/>
          <w:szCs w:val="32"/>
          <w:lang w:eastAsia="zh-CN"/>
        </w:rPr>
        <w:t>提高</w:t>
      </w:r>
      <w:r>
        <w:rPr>
          <w:rFonts w:hint="eastAsia" w:ascii="仿宋_GB2312" w:hAnsi="仿宋_GB2312" w:eastAsia="仿宋_GB2312" w:cs="仿宋_GB2312"/>
          <w:color w:val="auto"/>
          <w:sz w:val="32"/>
          <w:szCs w:val="32"/>
        </w:rPr>
        <w:t>政治能力研究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19</w:t>
      </w:r>
      <w:r>
        <w:rPr>
          <w:rFonts w:hint="eastAsia" w:ascii="仿宋_GB2312" w:hAnsi="仿宋_GB2312" w:eastAsia="仿宋_GB2312" w:cs="仿宋_GB2312"/>
          <w:color w:val="auto"/>
          <w:sz w:val="32"/>
          <w:szCs w:val="32"/>
        </w:rPr>
        <w:t>.新时代党员领导干部道德建设研究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.打通党内监督与党外监督的制度化通道研究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1.伟大脱贫攻坚精神研究</w:t>
      </w:r>
    </w:p>
    <w:p>
      <w:pPr>
        <w:keepNext w:val="0"/>
        <w:keepLines w:val="0"/>
        <w:pageBreakBefore w:val="0"/>
        <w:widowControl/>
        <w:kinsoku/>
        <w:wordWrap/>
        <w:overflowPunct/>
        <w:topLinePunct w:val="0"/>
        <w:autoSpaceDE/>
        <w:autoSpaceDN/>
        <w:bidi w:val="0"/>
        <w:adjustRightInd/>
        <w:snapToGrid/>
        <w:spacing w:line="600" w:lineRule="exact"/>
        <w:ind w:left="638" w:leftChars="304" w:firstLine="0" w:firstLine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2.伟大抗疫精神研究</w:t>
      </w:r>
    </w:p>
    <w:p>
      <w:pPr>
        <w:keepNext w:val="0"/>
        <w:keepLines w:val="0"/>
        <w:pageBreakBefore w:val="0"/>
        <w:widowControl/>
        <w:kinsoku/>
        <w:wordWrap/>
        <w:overflowPunct/>
        <w:topLinePunct w:val="0"/>
        <w:autoSpaceDE/>
        <w:autoSpaceDN/>
        <w:bidi w:val="0"/>
        <w:adjustRightInd/>
        <w:snapToGrid/>
        <w:spacing w:line="600" w:lineRule="exact"/>
        <w:ind w:left="638" w:leftChars="304" w:firstLine="0" w:firstLineChars="0"/>
        <w:jc w:val="both"/>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（二）中华优秀</w:t>
      </w:r>
      <w:r>
        <w:rPr>
          <w:rFonts w:hint="eastAsia" w:ascii="楷体_GB2312" w:hAnsi="楷体_GB2312" w:eastAsia="楷体_GB2312" w:cs="楷体_GB2312"/>
          <w:b/>
          <w:bCs/>
          <w:sz w:val="32"/>
          <w:szCs w:val="32"/>
        </w:rPr>
        <w:t>传统文化</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两创</w:t>
      </w:r>
      <w:r>
        <w:rPr>
          <w:rFonts w:hint="eastAsia" w:ascii="楷体_GB2312" w:hAnsi="楷体_GB2312" w:eastAsia="楷体_GB2312" w:cs="楷体_GB2312"/>
          <w:b/>
          <w:bCs/>
          <w:sz w:val="32"/>
          <w:szCs w:val="32"/>
          <w:lang w:eastAsia="zh-CN"/>
        </w:rPr>
        <w:t>”研究专项</w:t>
      </w:r>
    </w:p>
    <w:p>
      <w:pPr>
        <w:keepNext w:val="0"/>
        <w:keepLines w:val="0"/>
        <w:pageBreakBefore w:val="0"/>
        <w:widowControl/>
        <w:kinsoku/>
        <w:wordWrap/>
        <w:overflowPunct/>
        <w:topLinePunct w:val="0"/>
        <w:autoSpaceDE/>
        <w:autoSpaceDN/>
        <w:bidi w:val="0"/>
        <w:adjustRightInd/>
        <w:snapToGrid/>
        <w:spacing w:line="600" w:lineRule="exact"/>
        <w:ind w:left="638" w:leftChars="304" w:firstLine="0" w:firstLine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.当代中国马克思主义的中华文明根基研究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.中国精神及其中华文明根基研究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中华优秀传统文化对社会主义核心价值观的涵养功能</w:t>
      </w:r>
      <w:r>
        <w:rPr>
          <w:rFonts w:hint="eastAsia" w:ascii="仿宋_GB2312" w:hAnsi="仿宋_GB2312" w:eastAsia="仿宋_GB2312" w:cs="仿宋_GB2312"/>
          <w:color w:val="auto"/>
          <w:sz w:val="32"/>
          <w:szCs w:val="32"/>
          <w:lang w:eastAsia="zh-CN"/>
        </w:rPr>
        <w:t>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.中华传统美德的传承、弘扬和现代转化研究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中国传统治国方略及其现代价值研究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中华优秀传统文化中的政德思想研究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7.习近平总书记“两创”</w:t>
      </w:r>
      <w:r>
        <w:rPr>
          <w:rFonts w:hint="eastAsia" w:ascii="仿宋_GB2312" w:hAnsi="仿宋_GB2312" w:eastAsia="仿宋_GB2312" w:cs="仿宋_GB2312"/>
          <w:color w:val="auto"/>
          <w:sz w:val="32"/>
          <w:szCs w:val="32"/>
          <w:lang w:eastAsia="zh-CN"/>
        </w:rPr>
        <w:t>要求</w:t>
      </w:r>
      <w:r>
        <w:rPr>
          <w:rFonts w:hint="eastAsia" w:ascii="仿宋_GB2312" w:hAnsi="仿宋_GB2312" w:eastAsia="仿宋_GB2312" w:cs="仿宋_GB2312"/>
          <w:color w:val="auto"/>
          <w:sz w:val="32"/>
          <w:szCs w:val="32"/>
        </w:rPr>
        <w:t>对传承弘扬中华优秀传统文化的指导意义研究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.中国传统文化对中国当代文学的影响研究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.中国传统语言学的继承与创新发展研究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世界儒学传播研究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11.齐文化传承创新研究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.泰山文化保护传承利用研究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13</w:t>
      </w:r>
      <w:r>
        <w:rPr>
          <w:rFonts w:hint="eastAsia" w:ascii="仿宋_GB2312" w:hAnsi="仿宋_GB2312" w:eastAsia="仿宋_GB2312" w:cs="仿宋_GB2312"/>
          <w:color w:val="auto"/>
          <w:sz w:val="32"/>
          <w:szCs w:val="32"/>
        </w:rPr>
        <w:t>.黄河文化蕴含的时代价值研究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rPr>
        <w:t>.山东非物质文化遗产传承创新研究</w:t>
      </w:r>
    </w:p>
    <w:p>
      <w:pPr>
        <w:keepNext w:val="0"/>
        <w:keepLines w:val="0"/>
        <w:pageBreakBefore w:val="0"/>
        <w:widowControl/>
        <w:kinsoku/>
        <w:wordWrap/>
        <w:overflowPunct/>
        <w:topLinePunct w:val="0"/>
        <w:autoSpaceDE/>
        <w:autoSpaceDN/>
        <w:bidi w:val="0"/>
        <w:adjustRightInd/>
        <w:snapToGrid/>
        <w:spacing w:line="600" w:lineRule="exact"/>
        <w:ind w:left="638" w:leftChars="304" w:firstLine="0" w:firstLineChars="0"/>
        <w:jc w:val="both"/>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（三）红色基因传承研究专项</w:t>
      </w:r>
    </w:p>
    <w:p>
      <w:pPr>
        <w:widowControl/>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红色文化涵养党员领导干部初心使命研究</w:t>
      </w:r>
    </w:p>
    <w:p>
      <w:pPr>
        <w:widowControl/>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山东</w:t>
      </w:r>
      <w:r>
        <w:rPr>
          <w:rFonts w:hint="eastAsia" w:ascii="仿宋_GB2312" w:hAnsi="仿宋_GB2312" w:eastAsia="仿宋_GB2312" w:cs="仿宋_GB2312"/>
          <w:color w:val="000000" w:themeColor="text1"/>
          <w:sz w:val="32"/>
          <w:szCs w:val="32"/>
          <w14:textFill>
            <w14:solidFill>
              <w14:schemeClr w14:val="tx1"/>
            </w14:solidFill>
          </w14:textFill>
        </w:rPr>
        <w:t>红色旅游创新发展研究</w:t>
      </w:r>
    </w:p>
    <w:p>
      <w:pPr>
        <w:widowControl/>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新时代红色文化价值传播研究</w:t>
      </w:r>
    </w:p>
    <w:p>
      <w:pPr>
        <w:widowControl/>
        <w:ind w:firstLine="640" w:firstLineChars="200"/>
        <w:jc w:val="left"/>
        <w:rPr>
          <w:rFonts w:hint="eastAsia" w:ascii="仿宋_GB2312" w:hAnsi="仿宋_GB2312" w:eastAsia="仿宋_GB2312" w:cs="仿宋_GB2312"/>
          <w:b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 w:val="0"/>
          <w:color w:val="000000" w:themeColor="text1"/>
          <w:kern w:val="2"/>
          <w:sz w:val="32"/>
          <w:szCs w:val="32"/>
          <w:lang w:val="en-US" w:eastAsia="zh-CN" w:bidi="ar-SA"/>
          <w14:textFill>
            <w14:solidFill>
              <w14:schemeClr w14:val="tx1"/>
            </w14:solidFill>
          </w14:textFill>
        </w:rPr>
        <w:t>红色文化作品的版权保护研究</w:t>
      </w:r>
    </w:p>
    <w:p>
      <w:pPr>
        <w:widowControl/>
        <w:ind w:left="638" w:leftChars="304" w:firstLine="0" w:firstLineChars="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lang w:eastAsia="zh-CN"/>
          <w14:textFill>
            <w14:solidFill>
              <w14:schemeClr w14:val="tx1"/>
            </w14:solidFill>
          </w14:textFill>
        </w:rPr>
        <w:t>山东</w:t>
      </w:r>
      <w:r>
        <w:rPr>
          <w:rFonts w:hint="eastAsia" w:ascii="仿宋_GB2312" w:hAnsi="仿宋_GB2312" w:eastAsia="仿宋_GB2312" w:cs="仿宋_GB2312"/>
          <w:color w:val="000000" w:themeColor="text1"/>
          <w:sz w:val="32"/>
          <w:szCs w:val="32"/>
          <w14:textFill>
            <w14:solidFill>
              <w14:schemeClr w14:val="tx1"/>
            </w14:solidFill>
          </w14:textFill>
        </w:rPr>
        <w:t>红色档案资源安全保护机制构建研究</w:t>
      </w:r>
    </w:p>
    <w:p>
      <w:pPr>
        <w:widowControl/>
        <w:ind w:left="638" w:leftChars="304" w:firstLine="0" w:firstLineChars="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面向数字人文的红色文献共建共享与内容挖掘研究</w:t>
      </w:r>
    </w:p>
    <w:p>
      <w:pPr>
        <w:widowControl/>
        <w:ind w:left="638" w:leftChars="304" w:firstLine="0" w:firstLineChars="0"/>
        <w:jc w:val="lef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7.山东传承红色基因的路径研究</w:t>
      </w:r>
    </w:p>
    <w:p>
      <w:pPr>
        <w:widowControl/>
        <w:ind w:left="638" w:leftChars="304" w:firstLine="0" w:firstLineChars="0"/>
        <w:jc w:val="lef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8.胶东红色文化研究</w:t>
      </w:r>
    </w:p>
    <w:p>
      <w:pPr>
        <w:widowControl/>
        <w:ind w:left="638" w:leftChars="304" w:firstLine="0" w:firstLineChars="0"/>
        <w:jc w:val="lef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9.沂蒙红色文化研究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br w:type="textWrapping"/>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10.沂蒙精神新内涵的提炼与阐释研究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11.沂蒙精神的传统文化基因研究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12.沂蒙精神的传承与传播研究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13.沂蒙红嫂研究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14.沂蒙精神及其时代价值研究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15.沂蒙精神与新时代党群关系研究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16.沂蒙精神与社会主义核心价值观研究</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（四）法治文化研究专项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.推动党内法规制度建设高质量发展研究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.法治政府建设标准和措施研究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.第三次分配的法律保障机制研究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.人工智能法学的理论、方法与实践研究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.数字法治政府建设研究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.犯罪治理模式转型研究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.个人信息侵权损害赔偿责任研究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.生态环境保护法典化研究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.养老服务体系建设的法治化保障研究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.生育保险制度立法与完善研究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.应对数字经济的税收法律制度研究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12.健全宪法宣传长效机制研究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13.山东高素质法治文化人才队伍建设研究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14.山东公民法治素养提升研究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15.打造齐鲁特色法治文化品牌研究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16.健全完善基层法治文化服务体系研究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17.法治文化与新媒体融合发展研究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18.创新法治文化建设工作机制研究</w:t>
      </w:r>
    </w:p>
    <w:p>
      <w:pPr>
        <w:keepNext w:val="0"/>
        <w:keepLines w:val="0"/>
        <w:pageBreakBefore w:val="0"/>
        <w:kinsoku/>
        <w:wordWrap/>
        <w:overflowPunct/>
        <w:topLinePunct w:val="0"/>
        <w:autoSpaceDE/>
        <w:autoSpaceDN/>
        <w:bidi w:val="0"/>
        <w:adjustRightInd/>
        <w:snapToGrid/>
        <w:spacing w:line="600" w:lineRule="exact"/>
        <w:ind w:left="638" w:leftChars="304" w:firstLine="0" w:firstLineChars="0"/>
        <w:jc w:val="both"/>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bCs/>
          <w:sz w:val="32"/>
          <w:szCs w:val="32"/>
          <w:lang w:eastAsia="zh-CN"/>
        </w:rPr>
        <w:t>（五）</w:t>
      </w:r>
      <w:r>
        <w:rPr>
          <w:rFonts w:hint="eastAsia" w:ascii="楷体_GB2312" w:hAnsi="楷体_GB2312" w:eastAsia="楷体_GB2312" w:cs="楷体_GB2312"/>
          <w:b/>
          <w:bCs/>
          <w:sz w:val="32"/>
          <w:szCs w:val="32"/>
        </w:rPr>
        <w:t>统一战线服务增强经济社会发展创新力研究专项</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重点课题</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统一战线服务黄河流域生态保护和高质量发展研究</w:t>
      </w:r>
    </w:p>
    <w:p>
      <w:pPr>
        <w:keepNext w:val="0"/>
        <w:keepLines w:val="0"/>
        <w:pageBreakBefore w:val="0"/>
        <w:kinsoku/>
        <w:wordWrap/>
        <w:overflowPunct/>
        <w:topLinePunct w:val="0"/>
        <w:autoSpaceDE/>
        <w:autoSpaceDN/>
        <w:bidi w:val="0"/>
        <w:adjustRightInd/>
        <w:snapToGrid/>
        <w:spacing w:line="600" w:lineRule="exact"/>
        <w:ind w:left="638" w:leftChars="304"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(2)黄河文化与中华文明研究</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(3)黄河文化与黄河国家战略研究</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(4)黄河文化与铸牢中华民族共同体意识研究</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一般课题</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习近平总书记关于加强和改进统一战线工作的重要思想研究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统一战线助力乡村振兴创新研究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新时代中国特色社会主义参政党建设研究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我国宗教中国化理论与实践研究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构建新型政商关系，促进非公经济“两个健康”发展研究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新的社会阶层人士融入新发展格局创新研究</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（六）</w:t>
      </w:r>
      <w:r>
        <w:rPr>
          <w:rFonts w:hint="eastAsia" w:ascii="楷体_GB2312" w:hAnsi="楷体_GB2312" w:eastAsia="楷体_GB2312" w:cs="楷体_GB2312"/>
          <w:b/>
          <w:bCs/>
          <w:sz w:val="32"/>
          <w:szCs w:val="32"/>
        </w:rPr>
        <w:t>孔繁森精神研究</w:t>
      </w:r>
      <w:r>
        <w:rPr>
          <w:rFonts w:hint="eastAsia" w:ascii="楷体_GB2312" w:hAnsi="楷体_GB2312" w:eastAsia="楷体_GB2312" w:cs="楷体_GB2312"/>
          <w:b/>
          <w:bCs/>
          <w:sz w:val="32"/>
          <w:szCs w:val="32"/>
          <w:lang w:eastAsia="zh-CN"/>
        </w:rPr>
        <w:t>专项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1.习近平总书记关于孔繁森精神重要论述研究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2.孔繁森精神的时代内涵</w:t>
      </w:r>
      <w:r>
        <w:rPr>
          <w:rFonts w:hint="eastAsia" w:ascii="仿宋_GB2312" w:hAnsi="仿宋_GB2312" w:eastAsia="仿宋_GB2312" w:cs="仿宋_GB2312"/>
          <w:sz w:val="32"/>
          <w:szCs w:val="32"/>
          <w:lang w:val="en-US" w:eastAsia="zh-CN"/>
        </w:rPr>
        <w:t>和价值</w:t>
      </w:r>
      <w:r>
        <w:rPr>
          <w:rFonts w:hint="eastAsia" w:ascii="仿宋_GB2312" w:hAnsi="仿宋_GB2312" w:eastAsia="仿宋_GB2312" w:cs="仿宋_GB2312"/>
          <w:sz w:val="32"/>
          <w:szCs w:val="32"/>
        </w:rPr>
        <w:t>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3.孔繁森的境界感研究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.孔繁森精神的形成历程研究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.孔繁森精神的传承现状及实践路径研究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.孔繁森精神在理想信念教育中的引领作用研究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孔繁森精神与新时代党性修养研究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.中国共产党执政价值观视域下的孔繁森精神研究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.弘扬孔繁森精神的长效机制研究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.孔繁森家风研究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.新时代孔繁森式干部培养模式研究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.孔繁森精神对新时代年轻干部成长的现实启示研究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.孔繁森精神融入思想政治教育的路径研究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.孔繁森精神对促进民族团结的重大意义研究</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(七)高校德育教育研究专项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1.习近平法治思想融入思想政治理论课教育教学研究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2.新时代高校“大思政课”格局构建研究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3.高校本硕博思政课一体化建设研究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4.高校“四史”教育常态化长效化机制建设研究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5.职业院校分专业大类推进课程思政建设路径研究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6.新时代高校网络意识形态安全体系建构研究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7.新时代高校网络舆情特点及应对策略研究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8.中华优秀传统文化融入高校网络思想政治教育研究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9.大数据背景下高校思想政治教育效能提升研究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10.高校融媒体中心建设思路和功能作用研究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11.高校校级网络思想政治工作中心建设研究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12.高校辅导员素质能力精准赋能平台建设研究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13.防范高校教师师德失范策略研究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14.高校学生危机事件应对与处置策略研究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15.新时代大学生“好网民”培养培育机制研究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16.新时代高校学生心理健康教育难点与对策研究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17.新时代高校学生社团育人功能优化提升研究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18.高校“一站式”学生社区综合管理模式探索与实践研究</w:t>
      </w:r>
    </w:p>
    <w:p>
      <w:pPr>
        <w:keepNext w:val="0"/>
        <w:keepLines w:val="0"/>
        <w:pageBreakBefore w:val="0"/>
        <w:kinsoku/>
        <w:wordWrap/>
        <w:overflowPunct/>
        <w:topLinePunct w:val="0"/>
        <w:autoSpaceDE w:val="0"/>
        <w:autoSpaceDN/>
        <w:bidi w:val="0"/>
        <w:adjustRightInd/>
        <w:spacing w:line="600" w:lineRule="exact"/>
        <w:ind w:left="638" w:leftChars="304"/>
        <w:textAlignment w:val="auto"/>
        <w:rPr>
          <w:rFonts w:hint="eastAsia" w:ascii="楷体" w:hAnsi="楷体" w:eastAsia="楷体"/>
          <w:b/>
          <w:bCs/>
          <w:sz w:val="32"/>
          <w:szCs w:val="32"/>
        </w:rPr>
      </w:pPr>
      <w:r>
        <w:rPr>
          <w:rFonts w:hint="eastAsia" w:ascii="楷体_GB2312" w:hAnsi="楷体_GB2312" w:eastAsia="楷体_GB2312" w:cs="楷体_GB2312"/>
          <w:b/>
          <w:bCs/>
          <w:sz w:val="32"/>
          <w:szCs w:val="32"/>
          <w:lang w:val="en-US" w:eastAsia="zh-CN"/>
        </w:rPr>
        <w:t>(八)健康教育与健康促进</w:t>
      </w:r>
      <w:r>
        <w:rPr>
          <w:rFonts w:hint="eastAsia" w:ascii="楷体" w:hAnsi="楷体" w:eastAsia="楷体"/>
          <w:b/>
          <w:bCs/>
          <w:sz w:val="32"/>
          <w:szCs w:val="32"/>
        </w:rPr>
        <w:t>研究专项</w:t>
      </w:r>
    </w:p>
    <w:p>
      <w:pPr>
        <w:autoSpaceDE w:val="0"/>
        <w:spacing w:line="600" w:lineRule="exact"/>
        <w:ind w:left="630"/>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.新冠肺炎防控效果评估研究</w:t>
      </w:r>
    </w:p>
    <w:p>
      <w:pPr>
        <w:autoSpaceDE w:val="0"/>
        <w:spacing w:line="60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.居民健康素养监测与评价研究</w:t>
      </w:r>
    </w:p>
    <w:p>
      <w:pPr>
        <w:autoSpaceDE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rPr>
        <w:t>.中华传统文化与健康文化研究</w:t>
      </w:r>
    </w:p>
    <w:p>
      <w:pPr>
        <w:autoSpaceDE w:val="0"/>
        <w:spacing w:line="60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4</w:t>
      </w:r>
      <w:r>
        <w:rPr>
          <w:rFonts w:hint="eastAsia" w:ascii="仿宋_GB2312" w:hAnsi="仿宋_GB2312" w:eastAsia="仿宋_GB2312" w:cs="仿宋_GB2312"/>
          <w:sz w:val="32"/>
          <w:szCs w:val="32"/>
          <w:shd w:val="clear" w:color="auto" w:fill="FFFFFF"/>
        </w:rPr>
        <w:t>.文明健康绿色环保的生活方式研究</w:t>
      </w:r>
    </w:p>
    <w:p>
      <w:pPr>
        <w:autoSpaceDE w:val="0"/>
        <w:spacing w:line="600" w:lineRule="exact"/>
        <w:ind w:left="63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健康素养对</w:t>
      </w:r>
      <w:r>
        <w:rPr>
          <w:rFonts w:hint="eastAsia" w:ascii="仿宋_GB2312" w:hAnsi="仿宋_GB2312" w:eastAsia="仿宋_GB2312" w:cs="仿宋_GB2312"/>
          <w:sz w:val="32"/>
          <w:szCs w:val="32"/>
        </w:rPr>
        <w:t>乡村振兴战略</w:t>
      </w:r>
      <w:r>
        <w:rPr>
          <w:rFonts w:hint="eastAsia" w:ascii="仿宋_GB2312" w:hAnsi="仿宋_GB2312" w:eastAsia="仿宋_GB2312" w:cs="仿宋_GB2312"/>
          <w:sz w:val="32"/>
          <w:szCs w:val="32"/>
          <w:lang w:eastAsia="zh-CN"/>
        </w:rPr>
        <w:t>作用的</w:t>
      </w:r>
      <w:r>
        <w:rPr>
          <w:rFonts w:hint="eastAsia" w:ascii="仿宋_GB2312" w:hAnsi="仿宋_GB2312" w:eastAsia="仿宋_GB2312" w:cs="仿宋_GB2312"/>
          <w:sz w:val="32"/>
          <w:szCs w:val="32"/>
        </w:rPr>
        <w:t>研究</w:t>
      </w:r>
    </w:p>
    <w:p>
      <w:pPr>
        <w:autoSpaceDE w:val="0"/>
        <w:spacing w:line="600" w:lineRule="exact"/>
        <w:ind w:left="63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6</w:t>
      </w:r>
      <w:r>
        <w:rPr>
          <w:rFonts w:hint="eastAsia" w:ascii="仿宋_GB2312" w:hAnsi="仿宋_GB2312" w:eastAsia="仿宋_GB2312" w:cs="仿宋_GB2312"/>
          <w:sz w:val="32"/>
          <w:szCs w:val="32"/>
          <w:shd w:val="clear" w:color="auto" w:fill="FFFFFF"/>
        </w:rPr>
        <w:t>.健康县区建设标准及实践研究</w:t>
      </w:r>
    </w:p>
    <w:p>
      <w:pPr>
        <w:autoSpaceDE w:val="0"/>
        <w:spacing w:line="600" w:lineRule="exact"/>
        <w:ind w:left="63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7</w:t>
      </w:r>
      <w:r>
        <w:rPr>
          <w:rFonts w:hint="eastAsia" w:ascii="仿宋_GB2312" w:hAnsi="仿宋_GB2312" w:eastAsia="仿宋_GB2312" w:cs="仿宋_GB2312"/>
          <w:sz w:val="32"/>
          <w:szCs w:val="32"/>
          <w:shd w:val="clear" w:color="auto" w:fill="FFFFFF"/>
        </w:rPr>
        <w:t>.新时代健康促进医院建设的内涵研究</w:t>
      </w:r>
    </w:p>
    <w:p>
      <w:pPr>
        <w:autoSpaceDE w:val="0"/>
        <w:spacing w:line="600" w:lineRule="exact"/>
        <w:ind w:left="63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8</w:t>
      </w:r>
      <w:r>
        <w:rPr>
          <w:rFonts w:hint="eastAsia" w:ascii="仿宋_GB2312" w:hAnsi="仿宋_GB2312" w:eastAsia="仿宋_GB2312" w:cs="仿宋_GB2312"/>
          <w:sz w:val="32"/>
          <w:szCs w:val="32"/>
          <w:shd w:val="clear" w:color="auto" w:fill="FFFFFF"/>
        </w:rPr>
        <w:t>.健康山东建设路径与措施研究</w:t>
      </w:r>
    </w:p>
    <w:p>
      <w:pPr>
        <w:autoSpaceDE w:val="0"/>
        <w:spacing w:line="600" w:lineRule="exact"/>
        <w:ind w:left="630"/>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9</w:t>
      </w:r>
      <w:r>
        <w:rPr>
          <w:rFonts w:hint="eastAsia" w:ascii="仿宋_GB2312" w:hAnsi="仿宋_GB2312" w:eastAsia="仿宋_GB2312" w:cs="仿宋_GB2312"/>
          <w:sz w:val="32"/>
          <w:szCs w:val="32"/>
          <w:shd w:val="clear" w:color="auto" w:fill="FFFFFF"/>
        </w:rPr>
        <w:t>.医疗卫生机构开展健康传播的机制研究</w:t>
      </w:r>
    </w:p>
    <w:p>
      <w:pPr>
        <w:autoSpaceDE w:val="0"/>
        <w:spacing w:line="600" w:lineRule="exact"/>
        <w:ind w:left="63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10</w:t>
      </w:r>
      <w:r>
        <w:rPr>
          <w:rFonts w:hint="eastAsia" w:ascii="仿宋_GB2312" w:hAnsi="仿宋_GB2312" w:eastAsia="仿宋_GB2312" w:cs="仿宋_GB2312"/>
          <w:sz w:val="32"/>
          <w:szCs w:val="32"/>
          <w:shd w:val="clear" w:color="auto" w:fill="FFFFFF"/>
        </w:rPr>
        <w:t>.县域健康中国行动工作效果的评估研究</w:t>
      </w:r>
    </w:p>
    <w:p>
      <w:pPr>
        <w:autoSpaceDE w:val="0"/>
        <w:spacing w:line="600" w:lineRule="exact"/>
        <w:ind w:left="63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.健康影响评价机制的探索与研究</w:t>
      </w:r>
    </w:p>
    <w:p>
      <w:pPr>
        <w:autoSpaceDE w:val="0"/>
        <w:spacing w:line="600" w:lineRule="exact"/>
        <w:ind w:left="63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w:t>
      </w: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.山东地区健康传播平台影响力研究</w:t>
      </w:r>
    </w:p>
    <w:p>
      <w:pPr>
        <w:autoSpaceDE w:val="0"/>
        <w:spacing w:line="600" w:lineRule="exact"/>
        <w:ind w:left="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.健康场所建设工作机制及效果研究</w:t>
      </w:r>
    </w:p>
    <w:p>
      <w:pPr>
        <w:autoSpaceDE w:val="0"/>
        <w:spacing w:line="600" w:lineRule="exact"/>
        <w:ind w:left="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.无烟环境建设促进效果的评价研究</w:t>
      </w:r>
    </w:p>
    <w:p>
      <w:pPr>
        <w:autoSpaceDE w:val="0"/>
        <w:spacing w:line="600" w:lineRule="exact"/>
        <w:ind w:left="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.基于健康教育的青少年近视干预措施研究</w:t>
      </w:r>
    </w:p>
    <w:p>
      <w:pPr>
        <w:autoSpaceDE w:val="0"/>
        <w:spacing w:line="600" w:lineRule="exact"/>
        <w:ind w:left="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.疫苗接种知识健康教育方式创新研究</w:t>
      </w:r>
    </w:p>
    <w:p>
      <w:pPr>
        <w:numPr>
          <w:ilvl w:val="-1"/>
          <w:numId w:val="0"/>
        </w:numPr>
        <w:ind w:leftChars="0" w:firstLine="640" w:firstLineChars="200"/>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333335"/>
          <w:sz w:val="32"/>
          <w:szCs w:val="32"/>
          <w:shd w:val="clear" w:color="auto" w:fill="FFFFFF"/>
          <w:lang w:val="en-US" w:eastAsia="zh-CN"/>
        </w:rPr>
        <w:t>17.</w:t>
      </w:r>
      <w:r>
        <w:rPr>
          <w:rFonts w:hint="eastAsia" w:ascii="仿宋_GB2312" w:hAnsi="仿宋_GB2312" w:eastAsia="仿宋_GB2312" w:cs="仿宋_GB2312"/>
          <w:color w:val="333335"/>
          <w:sz w:val="32"/>
          <w:szCs w:val="32"/>
          <w:shd w:val="clear" w:color="auto" w:fill="FFFFFF"/>
        </w:rPr>
        <w:t>老年友好型社区建设</w:t>
      </w:r>
      <w:r>
        <w:rPr>
          <w:rFonts w:hint="eastAsia" w:ascii="仿宋_GB2312" w:hAnsi="仿宋_GB2312" w:eastAsia="仿宋_GB2312" w:cs="仿宋_GB2312"/>
          <w:color w:val="333335"/>
          <w:sz w:val="32"/>
          <w:szCs w:val="32"/>
          <w:shd w:val="clear" w:color="auto" w:fill="FFFFFF"/>
          <w:lang w:eastAsia="zh-CN"/>
        </w:rPr>
        <w:t>路径</w:t>
      </w:r>
      <w:r>
        <w:rPr>
          <w:rFonts w:hint="eastAsia" w:ascii="仿宋_GB2312" w:hAnsi="仿宋_GB2312" w:eastAsia="仿宋_GB2312" w:cs="仿宋_GB2312"/>
          <w:color w:val="333335"/>
          <w:sz w:val="32"/>
          <w:szCs w:val="32"/>
          <w:shd w:val="clear" w:color="auto" w:fill="FFFFFF"/>
        </w:rPr>
        <w:t>研究</w:t>
      </w:r>
    </w:p>
    <w:p>
      <w:pPr>
        <w:numPr>
          <w:ilvl w:val="-1"/>
          <w:numId w:val="0"/>
        </w:numPr>
        <w:ind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shd w:val="clear" w:color="auto" w:fill="FFFFFF"/>
          <w:lang w:val="en-US" w:eastAsia="zh-CN"/>
        </w:rPr>
        <w:t>18.</w:t>
      </w:r>
      <w:r>
        <w:rPr>
          <w:rFonts w:hint="eastAsia" w:ascii="仿宋_GB2312" w:hAnsi="仿宋_GB2312" w:eastAsia="仿宋_GB2312" w:cs="仿宋_GB2312"/>
          <w:color w:val="000000"/>
          <w:sz w:val="32"/>
          <w:szCs w:val="32"/>
          <w:shd w:val="clear" w:color="auto" w:fill="FFFFFF"/>
        </w:rPr>
        <w:t>推动中医药传承创新发展</w:t>
      </w:r>
      <w:r>
        <w:rPr>
          <w:rFonts w:hint="eastAsia" w:ascii="仿宋_GB2312" w:hAnsi="仿宋_GB2312" w:eastAsia="仿宋_GB2312" w:cs="仿宋_GB2312"/>
          <w:color w:val="000000"/>
          <w:sz w:val="32"/>
          <w:szCs w:val="32"/>
          <w:shd w:val="clear" w:color="auto" w:fill="FFFFFF"/>
          <w:lang w:eastAsia="zh-CN"/>
        </w:rPr>
        <w:t>措施</w:t>
      </w:r>
      <w:r>
        <w:rPr>
          <w:rFonts w:hint="eastAsia" w:ascii="仿宋_GB2312" w:hAnsi="仿宋_GB2312" w:eastAsia="仿宋_GB2312" w:cs="仿宋_GB2312"/>
          <w:color w:val="000000"/>
          <w:sz w:val="32"/>
          <w:szCs w:val="32"/>
          <w:shd w:val="clear" w:color="auto" w:fill="FFFFFF"/>
        </w:rPr>
        <w:t>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(九)文化和旅游研究专项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1.文旅宏观政</w:t>
      </w:r>
      <w:bookmarkStart w:id="1" w:name="_GoBack"/>
      <w:bookmarkEnd w:id="1"/>
      <w:r>
        <w:rPr>
          <w:rFonts w:hint="eastAsia" w:ascii="仿宋_GB2312" w:hAnsi="仿宋_GB2312" w:eastAsia="仿宋_GB2312" w:cs="仿宋_GB2312"/>
          <w:b/>
          <w:bCs/>
          <w:sz w:val="32"/>
          <w:szCs w:val="32"/>
          <w:lang w:val="en-US" w:eastAsia="zh-CN"/>
        </w:rPr>
        <w:t>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（1）疫后我国出入境旅游重启的政策与机制研究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（2）山东省文旅产业融合发展战略研究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（3）山东省文化与旅游融合发展路径研究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（4）疫情下文旅企业转型升级研究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（5）疫情下文旅企业从业者再就业路径研究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（6）文旅融合背景下我国数字贸易发展机遇、挑战及应对措施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2.文旅融合创新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（1）文旅融合背景下乡村振兴模式研究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（2）金融助力文旅融合发展路径研究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（3）乡村振兴战略下金融对旅游业支持模式探究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（4）“非遗+文创”赋能黄河文化旅游创新研究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（5）文旅融合视域下文化创意产品溢出价值研究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3.科技赋能文旅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（1）酒店业财务共享服务中心建设模式研究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（2）文旅企业数字化转型模式研究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（3）文旅企业数字化营销途径探究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（4）文旅短视频私域流量用户价值研究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（5）短视频平台文旅Kol赋能乡村振兴模式研究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4.文旅业人才培养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（1）文旅现代产业学院建设方案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（2）“新文科”背景下旅游管理类人才培养模式研究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（3）产教融合视域下的旅游管理类人才培养模式探究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（4）数字贸易人才供需平衡问题研究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（5）文旅融合背景下金融类人才培养模式研究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（6）文旅融合背景下新媒体人才培养模式研究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F2AC9"/>
    <w:rsid w:val="039C0F8A"/>
    <w:rsid w:val="0A214B26"/>
    <w:rsid w:val="0B6F7A02"/>
    <w:rsid w:val="10D23200"/>
    <w:rsid w:val="1BAD1075"/>
    <w:rsid w:val="1FDE4869"/>
    <w:rsid w:val="27714D53"/>
    <w:rsid w:val="2FAB20E8"/>
    <w:rsid w:val="31AB224E"/>
    <w:rsid w:val="32652B96"/>
    <w:rsid w:val="37AB1DF9"/>
    <w:rsid w:val="3A44648A"/>
    <w:rsid w:val="3C7D22EF"/>
    <w:rsid w:val="48EC6F06"/>
    <w:rsid w:val="4D4923D1"/>
    <w:rsid w:val="55E052C6"/>
    <w:rsid w:val="5A4656E9"/>
    <w:rsid w:val="5B1A65D3"/>
    <w:rsid w:val="5D204CED"/>
    <w:rsid w:val="5DFA36FE"/>
    <w:rsid w:val="5FC8323F"/>
    <w:rsid w:val="627855B7"/>
    <w:rsid w:val="6E044C20"/>
    <w:rsid w:val="7DA46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footnote text"/>
    <w:basedOn w:val="1"/>
    <w:unhideWhenUsed/>
    <w:qFormat/>
    <w:uiPriority w:val="99"/>
    <w:pPr>
      <w:snapToGrid w:val="0"/>
      <w:jc w:val="left"/>
    </w:pPr>
    <w:rPr>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2022-02-28T03:07:00Z</dcterms:created>
  <dc:creator>HP</dc:creator>
  <cp:lastModifiedBy>HP</cp:lastModifiedBy>
  <cp:lastPrinted>2022-03-23T02:47:00Z</cp:lastPrinted>
  <dcterms:modified xsi:type="dcterms:W3CDTF">2022-04-07T08:09:24Z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